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1032" w:before="0" w:after="1556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56" cy="10692003"/>
            <wp:effectExtent l="0" t="0" r="0" b="0"/>
            <wp:wrapNone/>
            <wp:docPr id="1" name="Picture 1" descr="Fondo decorativo: Portada de De lo Humano y lo Comunitario minimalista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56" cy="1069200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 w:val="0"/>
          <w:color w:val="23272E"/>
          <w:sz w:val="86"/>
        </w:rPr>
        <w:t>De lo Humano y lo</w:t>
        <w:br/>
      </w:r>
      <w:r>
        <w:rPr>
          <w:rFonts w:ascii="Georgia" w:hAnsi="Georgia" w:cs="Georgia" w:eastAsia="Georgia"/>
          <w:b/>
          <w:i w:val="0"/>
          <w:color w:val="23272E"/>
          <w:sz w:val="86"/>
        </w:rPr>
        <w:t>Comunitario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Nombre: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Grado y grupo: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Escuela: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Profesor(a):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Fecha: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1906" w:h="16838"/>
      <w:pgMar w:top="5641" w:right="1667" w:bottom="360" w:left="1667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De lo Humano y lo Comunitario minimalista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