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16" w:before="0" w:after="151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Educación Cultural y Artíst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Educación Cultural y</w:t>
        <w:br/>
      </w:r>
      <w:r>
        <w:rPr>
          <w:rFonts w:ascii="Comic Sans MS" w:hAnsi="Comic Sans MS" w:cs="Comic Sans MS" w:eastAsia="Comic Sans MS"/>
          <w:b/>
          <w:i w:val="0"/>
          <w:color w:val="000000"/>
          <w:sz w:val="68"/>
        </w:rPr>
        <w:t>Artística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Unidad Educativa: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Docente: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Año lectivo: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Educación Cultural y Artística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