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20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esarrollo Personal, Ciudadanía y Cívic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A4262C"/>
          <w:sz w:val="72"/>
        </w:rPr>
        <w:t>Desarrollo Personal,</w:t>
        <w:br/>
      </w:r>
      <w:r>
        <w:rPr>
          <w:rFonts w:ascii="Trebuchet MS" w:hAnsi="Trebuchet MS" w:cs="Trebuchet MS" w:eastAsia="Trebuchet MS"/>
          <w:b/>
          <w:i w:val="0"/>
          <w:color w:val="A4262C"/>
          <w:sz w:val="72"/>
        </w:rPr>
        <w:t>Ciudadanía y Cívica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Desarrollo Personal, Ciudadanía y Cívica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