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768" w:before="0" w:after="101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sarrollo Personal, Ciudadanía y Cív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64"/>
        </w:rPr>
        <w:t>Desarrollo Personal,</w:t>
        <w:br/>
      </w:r>
      <w:r>
        <w:rPr>
          <w:rFonts w:ascii="Georgia" w:hAnsi="Georgia" w:cs="Georgia" w:eastAsia="Georgia"/>
          <w:b/>
          <w:i w:val="0"/>
          <w:color w:val="FFFFFF"/>
          <w:sz w:val="64"/>
        </w:rPr>
        <w:t>Ciudadanía y Cívica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Desarrollo Personal, Ciudadanía y Cívica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